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ПО ВЫПЛАТАМ ГРАЖДАНАМ, ЗАКЛЮЧИВШИМ КОНТРАКТ С 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ИНИСТЕРСТВОМ ОБОРОНЫ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РФ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ОТ СУРГУТСКОГО РАЙОНА ХМАО-ЮГРЫ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tbl>
      <w:tblPr>
        <w:tblStyle w:val="836"/>
        <w:tblW w:w="15866" w:type="dxa"/>
        <w:jc w:val="center"/>
        <w:tblBorders>
          <w:top w:val="single" w:color="8496B0" w:themeColor="text2" w:themeTint="99" w:sz="6" w:space="0"/>
          <w:left w:val="single" w:color="8496B0" w:themeColor="text2" w:themeTint="99" w:sz="6" w:space="0"/>
          <w:bottom w:val="single" w:color="8496B0" w:themeColor="text2" w:themeTint="99" w:sz="6" w:space="0"/>
          <w:right w:val="single" w:color="8496B0" w:themeColor="text2" w:themeTint="99" w:sz="6" w:space="0"/>
          <w:insideH w:val="single" w:color="8496B0" w:themeColor="text2" w:themeTint="99" w:sz="6" w:space="0"/>
          <w:insideV w:val="single" w:color="8496B0" w:themeColor="text2" w:themeTint="99" w:sz="6" w:space="0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753"/>
        <w:gridCol w:w="7020"/>
        <w:gridCol w:w="1753"/>
        <w:gridCol w:w="2568"/>
      </w:tblGrid>
      <w:tr>
        <w:tblPrEx/>
        <w:trPr>
          <w:jc w:val="center"/>
          <w:trHeight w:val="475"/>
        </w:trPr>
        <w:tc>
          <w:tcPr>
            <w:gridSpan w:val="5"/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8496B0" w:themeColor="text2" w:themeTint="99" w:sz="6" w:space="0"/>
              <w:right w:val="none" w:color="000000" w:sz="4" w:space="0"/>
            </w:tcBorders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ПРАВИТЕЛЬСТВА ХАНТЫ-МАНСИЙСКОГО АВТОНОМНОГО ОКРУГА – ЮГРЫ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10 ФЕВРАЛЯ 2023 ГОДА № 51-П «О ЕДИНОМ ПЕРЕЧНЕ ПРАВ, ЛЬГОТ, СОЦИАЛЬНЫХ ГАРАНТИЙ И КОМПЕНСАЦИЙ ГРАЖДАНАМ РОССИЙСКОЙ ФЕДЕРАЦИИ,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ПРИНИМАЮЩИМ УЧАСТИЕ В СПЕЦИАЛЬНОЙ ВОЕННОЙ ОПЕРАЦИИ, И ЧЛЕНАМ ИХ СЕМЕЙ)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jc w:val="center"/>
          <w:trHeight w:val="361"/>
        </w:trPr>
        <w:tc>
          <w:tcPr>
            <w:shd w:val="clear" w:color="auto" w:fill="d5dce4" w:themeFill="text2" w:themeFillTint="33"/>
            <w:tcBorders>
              <w:top w:val="single" w:color="8496B0" w:themeColor="text2" w:themeTint="99" w:sz="6" w:space="0"/>
              <w:left w:val="single" w:color="8496B0" w:themeColor="text2" w:themeTint="99" w:sz="6" w:space="0"/>
              <w:bottom w:val="single" w:color="8496B0" w:themeColor="text2" w:themeTint="99" w:sz="6" w:space="0"/>
              <w:right w:val="single" w:color="8496B0" w:themeColor="text2" w:themeTint="99" w:sz="6" w:space="0"/>
            </w:tcBorders>
            <w:tcW w:w="277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d5dce4" w:themeFill="text2" w:themeFillTint="33"/>
            <w:tcBorders>
              <w:top w:val="single" w:color="8496B0" w:themeColor="text2" w:themeTint="99" w:sz="6" w:space="0"/>
              <w:left w:val="single" w:color="8496B0" w:themeColor="text2" w:themeTint="99" w:sz="6" w:space="0"/>
              <w:bottom w:val="single" w:color="8496B0" w:themeColor="text2" w:themeTint="99" w:sz="6" w:space="0"/>
              <w:right w:val="single" w:color="8496B0" w:themeColor="text2" w:themeTint="99" w:sz="6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ВИД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d5dce4" w:themeFill="text2" w:themeFillTint="33"/>
            <w:tcBorders>
              <w:top w:val="single" w:color="8496B0" w:themeColor="text2" w:themeTint="99" w:sz="6" w:space="0"/>
              <w:left w:val="single" w:color="8496B0" w:themeColor="text2" w:themeTint="99" w:sz="6" w:space="0"/>
              <w:bottom w:val="single" w:color="8496B0" w:themeColor="text2" w:themeTint="99" w:sz="6" w:space="0"/>
              <w:right w:val="single" w:color="8496B0" w:themeColor="text2" w:themeTint="99" w:sz="6" w:space="0"/>
            </w:tcBorders>
            <w:tcW w:w="70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ПРИМЕЧАНИЕ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d5dce4" w:themeFill="text2" w:themeFillTint="33"/>
            <w:tcBorders>
              <w:top w:val="single" w:color="8496B0" w:themeColor="text2" w:themeTint="99" w:sz="6" w:space="0"/>
              <w:left w:val="single" w:color="8496B0" w:themeColor="text2" w:themeTint="99" w:sz="6" w:space="0"/>
              <w:bottom w:val="single" w:color="8496B0" w:themeColor="text2" w:themeTint="99" w:sz="6" w:space="0"/>
              <w:right w:val="single" w:color="8496B0" w:themeColor="text2" w:themeTint="99" w:sz="6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СУММА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РУБ.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</w:r>
          </w:p>
        </w:tc>
        <w:tc>
          <w:tcPr>
            <w:shd w:val="clear" w:color="auto" w:fill="d5dce4" w:themeFill="text2" w:themeFillTint="33"/>
            <w:tcBorders>
              <w:top w:val="single" w:color="8496B0" w:themeColor="text2" w:themeTint="99" w:sz="6" w:space="0"/>
              <w:left w:val="single" w:color="8496B0" w:themeColor="text2" w:themeTint="99" w:sz="6" w:space="0"/>
              <w:bottom w:val="single" w:color="8496B0" w:themeColor="text2" w:themeTint="99" w:sz="6" w:space="0"/>
              <w:right w:val="single" w:color="8496B0" w:themeColor="text2" w:themeTint="99" w:sz="6" w:space="0"/>
            </w:tcBorders>
            <w:tcW w:w="2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СРОК ВЫПЛАТЫ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jc w:val="center"/>
          <w:trHeight w:val="271"/>
        </w:trPr>
        <w:tc>
          <w:tcPr>
            <w:gridSpan w:val="5"/>
            <w:shd w:val="clear" w:color="auto" w:fill="d5dce4" w:themeFill="text2" w:themeFillTint="33"/>
            <w:tcBorders>
              <w:top w:val="single" w:color="8496B0" w:themeColor="text2" w:themeTint="99" w:sz="6" w:space="0"/>
            </w:tcBorders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 ЗАКЛЮЧЕНИИ КОНТРАКТА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jc w:val="center"/>
          <w:trHeight w:val="962"/>
        </w:trPr>
        <w:tc>
          <w:tcPr>
            <w:tcW w:w="277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Единовременная выплата (разовая) при заключении контракта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Мера поддержки ХМАО-Югры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7020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Денежная выплата в размере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0 000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рублей гражданам, заключившим контракт в Ханты-Мансийском автономном округе-Югре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Период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действия 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01.09.2026 по 31.10.2026</w:t>
            </w:r>
            <w:r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момента заключения контракта до 10 дней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</w:tr>
      <w:tr>
        <w:tblPrEx/>
        <w:trPr>
          <w:jc w:val="center"/>
          <w:trHeight w:val="767"/>
        </w:trPr>
        <w:tc>
          <w:tcPr>
            <w:tcW w:w="277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Единовременная выплата (разовая) при заключении контракта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Выплата от Минобороны РФ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7020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Денежная выплата в размере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400 000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рублей гражданам, заключившим контракт с Минобороны РФ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400 000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момента прибытия в В/Ч до 30 дней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</w:tr>
      <w:tr>
        <w:tblPrEx/>
        <w:trPr>
          <w:jc w:val="center"/>
          <w:trHeight w:val="1028"/>
        </w:trPr>
        <w:tc>
          <w:tcPr>
            <w:tcW w:w="277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Единовременная выплата при заключении контракта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Мера поддержки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Сургутского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района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7020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Денежная выплата в размере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0 000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рублей гражданам, заключившим контракт с Минобороны РФ в Ханты-Мансийском автономном округе Югре, зарегистрированным (постоянная или временная регистрация) на территории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Сургутского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района. 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Период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действия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01.09.2026 по 31.10.2026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/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350 000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14:ligatures w14:val="none"/>
              </w:rPr>
            </w:r>
          </w:p>
        </w:tc>
        <w:tc>
          <w:tcPr>
            <w:tcW w:w="2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момента заключения контракта до 30 дней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</w:tr>
      <w:tr>
        <w:tblPrEx/>
        <w:trPr>
          <w:jc w:val="center"/>
          <w:trHeight w:val="108"/>
        </w:trPr>
        <w:tc>
          <w:tcPr>
            <w:gridSpan w:val="5"/>
            <w:shd w:val="clear" w:color="auto" w:fill="e2efd9" w:themeFill="accent6" w:themeFillTint="33"/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ИТОГО: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lang w:val="en-US"/>
              </w:rPr>
              <w:t xml:space="preserve">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46"/>
        </w:trPr>
        <w:tc>
          <w:tcPr>
            <w:gridSpan w:val="5"/>
            <w:shd w:val="clear" w:color="auto" w:fill="d5dce4" w:themeFill="text2" w:themeFillTint="33"/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В ПЕРИОД ДЕЙСТВИЯ КОНТРАКТА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1028"/>
        </w:trPr>
        <w:tc>
          <w:tcPr>
            <w:tcW w:w="277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Денежное довольствие (ежемесячно при выполнении задач в зоне СВО)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Денежное довольствие Минобороны РФ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7020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Денежная выплата гражданам, заключившим контракт с Минобороны РФ 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</w:rPr>
              <w:t xml:space="preserve">при выполнении задач в зоне СВО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210 000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рублей ежемесячно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210 000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момента заключения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контракта до 30 дней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</w:tr>
      <w:tr>
        <w:tblPrEx/>
        <w:trPr>
          <w:jc w:val="center"/>
          <w:trHeight w:val="239"/>
        </w:trPr>
        <w:tc>
          <w:tcPr>
            <w:gridSpan w:val="5"/>
            <w:shd w:val="clear" w:color="auto" w:fill="e2efd9" w:themeFill="accent6" w:themeFillTint="33"/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2 5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46"/>
        </w:trPr>
        <w:tc>
          <w:tcPr>
            <w:gridSpan w:val="5"/>
            <w:shd w:val="clear" w:color="auto" w:fill="d5dce4" w:themeFill="text2" w:themeFillTint="33"/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ПО ОКОНЧАНИЮ СРОКА КОНТРАКТА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1013"/>
        </w:trPr>
        <w:tc>
          <w:tcPr>
            <w:tcW w:w="277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Единовременная выплата (разовая) по окончанию срока действия контракта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Мера поддержки ХМАО-Югры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7020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Денежная выплата в размере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100 000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рублей гражданам, заключившим контракт с Минобороны РФ в Ханты-Мансийском автономном округе Югре, по окончанию срока действия контракта.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W w:w="17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100 000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25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 окончанию срока действия контракта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shd w:val="clear" w:color="auto" w:fill="e2efd9" w:themeFill="accent6" w:themeFillTint="33"/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ИТОГО: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100 000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07"/>
        </w:trPr>
        <w:tc>
          <w:tcPr>
            <w:gridSpan w:val="5"/>
            <w:shd w:val="clear" w:color="auto" w:fill="fff2cc" w:themeFill="accent4" w:themeFillTint="33"/>
            <w:tcW w:w="1586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ВСЕГО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      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000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3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14:ligatures w14:val="standardContextual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uiPriority w:val="39"/>
    <w:pPr>
      <w:spacing w:after="0" w:line="240" w:lineRule="auto"/>
    </w:pPr>
    <w:rPr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callcentr</dc:creator>
  <cp:keywords/>
  <dc:description/>
  <cp:lastModifiedBy>SapryikinAV</cp:lastModifiedBy>
  <cp:revision>20</cp:revision>
  <dcterms:created xsi:type="dcterms:W3CDTF">2025-05-27T05:39:00Z</dcterms:created>
  <dcterms:modified xsi:type="dcterms:W3CDTF">2026-08-31T12:08:01Z</dcterms:modified>
</cp:coreProperties>
</file>